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1D77" w:rsidRPr="00AA307C" w:rsidRDefault="00DC05B0" w:rsidP="002C165A">
      <w:pPr>
        <w:pStyle w:val="Heading110"/>
        <w:shd w:val="clear" w:color="auto" w:fill="auto"/>
        <w:spacing w:after="120" w:line="276" w:lineRule="auto"/>
        <w:rPr>
          <w:color w:val="000000"/>
          <w:lang w:val="sr-Cyrl-CS"/>
        </w:rPr>
      </w:pPr>
      <w:bookmarkStart w:id="0" w:name="bookmark0"/>
      <w:bookmarkStart w:id="1" w:name="_GoBack"/>
      <w:bookmarkEnd w:id="1"/>
      <w:r w:rsidRPr="00AA307C">
        <w:rPr>
          <w:color w:val="000000"/>
          <w:lang w:val="sr-Cyrl-CS"/>
        </w:rPr>
        <w:t>Симулација Самита о климатским променама: Развијене земље</w:t>
      </w:r>
      <w:bookmarkEnd w:id="0"/>
    </w:p>
    <w:tbl>
      <w:tblPr>
        <w:tblStyle w:val="TableGrid"/>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60"/>
        <w:gridCol w:w="1134"/>
        <w:gridCol w:w="5953"/>
      </w:tblGrid>
      <w:tr w:rsidR="004D0CFD" w:rsidRPr="00AA307C" w:rsidTr="002C165A">
        <w:trPr>
          <w:trHeight w:val="725"/>
        </w:trPr>
        <w:tc>
          <w:tcPr>
            <w:tcW w:w="2660" w:type="dxa"/>
            <w:vMerge w:val="restart"/>
          </w:tcPr>
          <w:p w:rsidR="004D0CFD" w:rsidRPr="00AA307C" w:rsidRDefault="0091067F" w:rsidP="004D0CFD">
            <w:pPr>
              <w:rPr>
                <w:sz w:val="16"/>
                <w:szCs w:val="16"/>
                <w:lang w:val="sr-Cyrl-CS"/>
              </w:rPr>
            </w:pPr>
            <w:r w:rsidRPr="00AA307C">
              <w:rPr>
                <w:noProof/>
                <w:sz w:val="16"/>
                <w:szCs w:val="16"/>
                <w:lang w:val="en-GB" w:eastAsia="en-GB"/>
              </w:rPr>
              <w:drawing>
                <wp:anchor distT="0" distB="0" distL="63500" distR="63500" simplePos="0" relativeHeight="377491201" behindDoc="1" locked="0" layoutInCell="1" allowOverlap="1">
                  <wp:simplePos x="0" y="0"/>
                  <wp:positionH relativeFrom="margin">
                    <wp:posOffset>-13970</wp:posOffset>
                  </wp:positionH>
                  <wp:positionV relativeFrom="paragraph">
                    <wp:posOffset>40640</wp:posOffset>
                  </wp:positionV>
                  <wp:extent cx="1615440" cy="871855"/>
                  <wp:effectExtent l="0" t="0" r="3810" b="4445"/>
                  <wp:wrapSquare wrapText="bothSides"/>
                  <wp:docPr id="6" name="Picture 6" descr="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15440" cy="871855"/>
                          </a:xfrm>
                          <a:prstGeom prst="rect">
                            <a:avLst/>
                          </a:prstGeom>
                          <a:noFill/>
                        </pic:spPr>
                      </pic:pic>
                    </a:graphicData>
                  </a:graphic>
                </wp:anchor>
              </w:drawing>
            </w:r>
          </w:p>
        </w:tc>
        <w:tc>
          <w:tcPr>
            <w:tcW w:w="1134" w:type="dxa"/>
          </w:tcPr>
          <w:p w:rsidR="004D0CFD" w:rsidRPr="00AA307C" w:rsidRDefault="004D0CFD" w:rsidP="002C165A">
            <w:pPr>
              <w:spacing w:before="120"/>
              <w:rPr>
                <w:b/>
                <w:lang w:val="sr-Cyrl-CS"/>
              </w:rPr>
            </w:pPr>
            <w:r w:rsidRPr="00AA307C">
              <w:rPr>
                <w:b/>
                <w:color w:val="000000"/>
                <w:lang w:val="sr-Cyrl-CS"/>
              </w:rPr>
              <w:t xml:space="preserve">За: </w:t>
            </w:r>
          </w:p>
        </w:tc>
        <w:tc>
          <w:tcPr>
            <w:tcW w:w="5953" w:type="dxa"/>
          </w:tcPr>
          <w:p w:rsidR="004D0CFD" w:rsidRPr="00AA307C" w:rsidRDefault="004D0CFD" w:rsidP="002C165A">
            <w:pPr>
              <w:spacing w:before="120"/>
              <w:rPr>
                <w:b/>
                <w:color w:val="000000"/>
                <w:lang w:val="sr-Cyrl-CS"/>
              </w:rPr>
            </w:pPr>
            <w:r w:rsidRPr="00AA307C">
              <w:rPr>
                <w:b/>
                <w:color w:val="000000"/>
                <w:lang w:val="sr-Cyrl-CS"/>
              </w:rPr>
              <w:t>Главне преговараче из развијених земаља</w:t>
            </w:r>
          </w:p>
          <w:p w:rsidR="004D0CFD" w:rsidRPr="00AA307C" w:rsidRDefault="004D0CFD" w:rsidP="004D0CFD">
            <w:pPr>
              <w:rPr>
                <w:lang w:val="sr-Cyrl-CS"/>
              </w:rPr>
            </w:pPr>
            <w:r w:rsidRPr="00AA307C">
              <w:rPr>
                <w:color w:val="000000"/>
                <w:lang w:val="sr-Cyrl-CS"/>
              </w:rPr>
              <w:t>(САД, Канада, Европска унија, Јапан, Русија и друге бивше совјетске републике, Јужна Кореја, Аустралија и Нови Зеланд)</w:t>
            </w:r>
          </w:p>
        </w:tc>
      </w:tr>
      <w:tr w:rsidR="004D0CFD" w:rsidRPr="00AA307C" w:rsidTr="002C165A">
        <w:trPr>
          <w:trHeight w:val="725"/>
        </w:trPr>
        <w:tc>
          <w:tcPr>
            <w:tcW w:w="2660" w:type="dxa"/>
            <w:vMerge/>
          </w:tcPr>
          <w:p w:rsidR="004D0CFD" w:rsidRPr="00AA307C" w:rsidRDefault="004D0CFD" w:rsidP="004D0CFD">
            <w:pPr>
              <w:rPr>
                <w:lang w:val="sr-Cyrl-CS" w:bidi="en-US"/>
              </w:rPr>
            </w:pPr>
          </w:p>
        </w:tc>
        <w:tc>
          <w:tcPr>
            <w:tcW w:w="1134" w:type="dxa"/>
          </w:tcPr>
          <w:p w:rsidR="004D0CFD" w:rsidRPr="00AA307C" w:rsidRDefault="004D0CFD" w:rsidP="002C165A">
            <w:pPr>
              <w:spacing w:before="120"/>
              <w:rPr>
                <w:b/>
                <w:color w:val="000000"/>
                <w:lang w:val="sr-Cyrl-CS"/>
              </w:rPr>
            </w:pPr>
            <w:r w:rsidRPr="00AA307C">
              <w:rPr>
                <w:b/>
                <w:color w:val="000000"/>
                <w:lang w:val="sr-Cyrl-CS"/>
              </w:rPr>
              <w:t>Тема:</w:t>
            </w:r>
          </w:p>
        </w:tc>
        <w:tc>
          <w:tcPr>
            <w:tcW w:w="5953" w:type="dxa"/>
          </w:tcPr>
          <w:p w:rsidR="004D0CFD" w:rsidRPr="00AA307C" w:rsidRDefault="004D0CFD" w:rsidP="002C165A">
            <w:pPr>
              <w:spacing w:before="120"/>
              <w:rPr>
                <w:b/>
                <w:color w:val="000000"/>
                <w:lang w:val="sr-Cyrl-CS"/>
              </w:rPr>
            </w:pPr>
            <w:r w:rsidRPr="00AA307C">
              <w:rPr>
                <w:b/>
                <w:color w:val="000000"/>
                <w:lang w:val="sr-Cyrl-CS"/>
              </w:rPr>
              <w:t>Припрема за Самит о климатским променама</w:t>
            </w:r>
          </w:p>
        </w:tc>
      </w:tr>
    </w:tbl>
    <w:p w:rsidR="004D0CFD" w:rsidRPr="00AA307C" w:rsidRDefault="004D0CFD" w:rsidP="002C165A">
      <w:pPr>
        <w:rPr>
          <w:lang w:val="sr-Cyrl-CS"/>
        </w:rPr>
      </w:pPr>
    </w:p>
    <w:p w:rsidR="002C1D77" w:rsidRPr="00AA307C" w:rsidRDefault="00DC05B0" w:rsidP="002C165A">
      <w:pPr>
        <w:spacing w:after="120"/>
        <w:rPr>
          <w:lang w:val="sr-Cyrl-CS"/>
        </w:rPr>
      </w:pPr>
      <w:r w:rsidRPr="00AA307C">
        <w:rPr>
          <w:lang w:val="sr-Cyrl-CS"/>
        </w:rPr>
        <w:t xml:space="preserve">Добро дошли на Самит о климатским променама. Генерални секретар УН вас је заједно са другим лидерима свих релевантних заинтересованих страна позвао да заједничким радом успешно одговорите на климатске промене. Генерални секретар је у свом позиву </w:t>
      </w:r>
      <w:r w:rsidRPr="00AA307C">
        <w:rPr>
          <w:rStyle w:val="Bodytext2"/>
          <w:lang w:val="sr-Cyrl-CS"/>
        </w:rPr>
        <w:t>истакао</w:t>
      </w:r>
      <w:r w:rsidRPr="00AA307C">
        <w:rPr>
          <w:lang w:val="sr-Cyrl-CS"/>
        </w:rPr>
        <w:t>: „Климатска ванредна ситуација је трка у којој губимо, али то је трка у којој можемо да победимо... Врхунска наука... говори нам да ће свако повећање температуре које прелази 1,5°C довести до огромне и неповратне штете по екосистеме који нас издржавају... Међутим, наука нам такође говори да није прекасно. Ми то можемо... Али биће нам неопходне темељне промене у свим аспектима друштва – у начину на који узгајамо храну, искоришћавамо земљу, трошимо гориво за превоз и струју за своје привреде... Уколико делујемо заједно, нико неће бити препуштен сам себи“.</w:t>
      </w:r>
    </w:p>
    <w:p w:rsidR="002C1D77" w:rsidRPr="00AA307C" w:rsidRDefault="00DC05B0" w:rsidP="000A6D24">
      <w:pPr>
        <w:spacing w:after="120" w:line="276" w:lineRule="auto"/>
        <w:rPr>
          <w:lang w:val="sr-Cyrl-CS"/>
        </w:rPr>
      </w:pPr>
      <w:r w:rsidRPr="00AA307C">
        <w:rPr>
          <w:color w:val="000000"/>
          <w:lang w:val="sr-Cyrl-CS"/>
        </w:rPr>
        <w:t xml:space="preserve">Циљ овог самита је стварање плана којим би се глобално загревање ограничило на мање од 2°C [3,6°F] изнад </w:t>
      </w:r>
      <w:proofErr w:type="spellStart"/>
      <w:r w:rsidRPr="00AA307C">
        <w:rPr>
          <w:color w:val="000000"/>
          <w:lang w:val="sr-Cyrl-CS"/>
        </w:rPr>
        <w:t>прединдустријских</w:t>
      </w:r>
      <w:proofErr w:type="spellEnd"/>
      <w:r w:rsidRPr="00AA307C">
        <w:rPr>
          <w:color w:val="000000"/>
          <w:lang w:val="sr-Cyrl-CS"/>
        </w:rPr>
        <w:t xml:space="preserve"> нивоа, уз тежњу да то буде 1,5°C [2,7°F], што су формално признати међународни циљеви у Париском споразуму о клими. Ови </w:t>
      </w:r>
      <w:r w:rsidRPr="00AA307C">
        <w:rPr>
          <w:rStyle w:val="Bodytext2"/>
          <w:lang w:val="sr-Cyrl-CS"/>
        </w:rPr>
        <w:t>научни докази</w:t>
      </w:r>
      <w:r w:rsidRPr="00AA307C">
        <w:rPr>
          <w:lang w:val="sr-Cyrl-CS"/>
        </w:rPr>
        <w:t xml:space="preserve"> </w:t>
      </w:r>
      <w:r w:rsidRPr="00AA307C">
        <w:rPr>
          <w:color w:val="000000"/>
          <w:lang w:val="sr-Cyrl-CS"/>
        </w:rPr>
        <w:t>су јасни: загревање изнад овог ограничења задаће катастрофалне и неповратне ударце који прете здрављу, напретку и животима људи у свим земљама.</w:t>
      </w:r>
    </w:p>
    <w:p w:rsidR="002C1D77" w:rsidRPr="00AA307C" w:rsidRDefault="00DC05B0" w:rsidP="002C165A">
      <w:pPr>
        <w:spacing w:after="120" w:line="276" w:lineRule="auto"/>
        <w:rPr>
          <w:lang w:val="sr-Cyrl-CS"/>
        </w:rPr>
      </w:pPr>
      <w:r w:rsidRPr="00AA307C">
        <w:rPr>
          <w:color w:val="000000"/>
          <w:lang w:val="sr-Cyrl-CS"/>
        </w:rPr>
        <w:t>Ви представљате (већ побројане) развијене земље света. Укупна популација ваших земаља броји 1,3 милијарди људи или око 17% од 7,7 милијарди становника света. Међутим, ваше земље заједно генеришу 60% светске привреде и имају највећи БДП (бруто домаћи производ) по глави становника.</w:t>
      </w:r>
    </w:p>
    <w:p w:rsidR="002C1D77" w:rsidRPr="00AA307C" w:rsidRDefault="00DC05B0" w:rsidP="002C165A">
      <w:pPr>
        <w:spacing w:after="120" w:line="276" w:lineRule="auto"/>
        <w:rPr>
          <w:lang w:val="sr-Cyrl-CS"/>
        </w:rPr>
      </w:pPr>
      <w:r w:rsidRPr="00AA307C">
        <w:rPr>
          <w:color w:val="000000"/>
          <w:lang w:val="sr-Cyrl-CS"/>
        </w:rPr>
        <w:t>Ваше приоритетне смернице наведене су у наставку. Међутим, можете да предложите или блокирате све расположиве смернице.</w:t>
      </w:r>
    </w:p>
    <w:p w:rsidR="002C1D77" w:rsidRPr="00AA307C" w:rsidRDefault="00DC05B0" w:rsidP="002C165A">
      <w:pPr>
        <w:numPr>
          <w:ilvl w:val="0"/>
          <w:numId w:val="1"/>
        </w:numPr>
        <w:spacing w:after="120" w:line="276" w:lineRule="auto"/>
        <w:ind w:left="403" w:hanging="403"/>
        <w:rPr>
          <w:lang w:val="sr-Cyrl-CS"/>
        </w:rPr>
      </w:pPr>
      <w:r w:rsidRPr="00AA307C">
        <w:rPr>
          <w:b/>
          <w:color w:val="000000"/>
          <w:lang w:val="sr-Cyrl-CS"/>
        </w:rPr>
        <w:t>Субвенционисање обновљиве енергије (нпр. соларне, енергије ветра, геотермалне, хидроенергије и складиштења енергије</w:t>
      </w:r>
      <w:r w:rsidRPr="00AA307C">
        <w:rPr>
          <w:color w:val="000000"/>
          <w:lang w:val="sr-Cyrl-CS"/>
        </w:rPr>
        <w:t xml:space="preserve">). </w:t>
      </w:r>
      <w:r w:rsidRPr="00AA307C">
        <w:rPr>
          <w:lang w:val="sr-Cyrl-CS"/>
        </w:rPr>
        <w:t xml:space="preserve">Индустрија обновљиве енергије се брзо развија, али и даље чини свега 5% снабдевања енергијом широм света. Субвенције ће поспешити раст тих делатности и </w:t>
      </w:r>
      <w:proofErr w:type="spellStart"/>
      <w:r w:rsidRPr="00AA307C">
        <w:rPr>
          <w:lang w:val="sr-Cyrl-CS"/>
        </w:rPr>
        <w:t>притом</w:t>
      </w:r>
      <w:proofErr w:type="spellEnd"/>
      <w:r w:rsidRPr="00AA307C">
        <w:rPr>
          <w:lang w:val="sr-Cyrl-CS"/>
        </w:rPr>
        <w:t xml:space="preserve"> отворити нова радна места у вашим земљама (уколико претекнете развој соларне, енергије ветра и </w:t>
      </w:r>
      <w:proofErr w:type="spellStart"/>
      <w:r w:rsidRPr="00AA307C">
        <w:rPr>
          <w:lang w:val="sr-Cyrl-CS"/>
        </w:rPr>
        <w:t>технолохију</w:t>
      </w:r>
      <w:proofErr w:type="spellEnd"/>
      <w:r w:rsidRPr="00AA307C">
        <w:rPr>
          <w:lang w:val="sr-Cyrl-CS"/>
        </w:rPr>
        <w:t xml:space="preserve"> акумулације у Кини и другим земљама у развоју). Складиштење (нпр. акумулатори, термална складишта, складишта </w:t>
      </w:r>
      <w:proofErr w:type="spellStart"/>
      <w:r w:rsidRPr="00AA307C">
        <w:rPr>
          <w:lang w:val="sr-Cyrl-CS"/>
        </w:rPr>
        <w:t>реверзибилних</w:t>
      </w:r>
      <w:proofErr w:type="spellEnd"/>
      <w:r w:rsidRPr="00AA307C">
        <w:rPr>
          <w:lang w:val="sr-Cyrl-CS"/>
        </w:rPr>
        <w:t xml:space="preserve"> хидроелектрана) и технологија паметне мреже омогућавају интеграцију различитих обновљивих енергија, попут соларне или енергије ветра у енергетски систем и обезбеђују непрекидно електрично напајање.</w:t>
      </w:r>
    </w:p>
    <w:p w:rsidR="002C1D77" w:rsidRPr="00AA307C" w:rsidRDefault="00DC05B0" w:rsidP="002C165A">
      <w:pPr>
        <w:numPr>
          <w:ilvl w:val="0"/>
          <w:numId w:val="1"/>
        </w:numPr>
        <w:spacing w:after="120" w:line="276" w:lineRule="auto"/>
        <w:ind w:left="403" w:hanging="403"/>
        <w:rPr>
          <w:b/>
          <w:lang w:val="sr-Cyrl-CS"/>
        </w:rPr>
      </w:pPr>
      <w:r w:rsidRPr="00AA307C">
        <w:rPr>
          <w:rStyle w:val="Bodytext2Bold"/>
          <w:lang w:val="sr-Cyrl-CS"/>
        </w:rPr>
        <w:t>Смањење сече шума.</w:t>
      </w:r>
      <w:r w:rsidRPr="00AA307C">
        <w:rPr>
          <w:lang w:val="sr-Cyrl-CS"/>
        </w:rPr>
        <w:t xml:space="preserve"> </w:t>
      </w:r>
      <w:r w:rsidRPr="00AA307C">
        <w:rPr>
          <w:color w:val="000000"/>
          <w:lang w:val="sr-Cyrl-CS"/>
        </w:rPr>
        <w:t xml:space="preserve">Сеча шума тренутно проузрокује око 15% глобалних емисија гасова са ефектом стаклене баште. Сеча шума се у великој мери одвија у тропским шумама у земљама у развоју, укључујући басен Амазона, Африку и јужну и </w:t>
      </w:r>
      <w:proofErr w:type="spellStart"/>
      <w:r w:rsidRPr="00AA307C">
        <w:rPr>
          <w:color w:val="000000"/>
          <w:lang w:val="sr-Cyrl-CS"/>
        </w:rPr>
        <w:t>југосточну</w:t>
      </w:r>
      <w:proofErr w:type="spellEnd"/>
      <w:r w:rsidRPr="00AA307C">
        <w:rPr>
          <w:color w:val="000000"/>
          <w:lang w:val="sr-Cyrl-CS"/>
        </w:rPr>
        <w:t xml:space="preserve"> Азију. Заштита шума може да смањи те емисије, те да очува </w:t>
      </w:r>
      <w:proofErr w:type="spellStart"/>
      <w:r w:rsidRPr="00AA307C">
        <w:rPr>
          <w:color w:val="000000"/>
          <w:lang w:val="sr-Cyrl-CS"/>
        </w:rPr>
        <w:t>биодиверзитет</w:t>
      </w:r>
      <w:proofErr w:type="spellEnd"/>
      <w:r w:rsidRPr="00AA307C">
        <w:rPr>
          <w:color w:val="000000"/>
          <w:lang w:val="sr-Cyrl-CS"/>
        </w:rPr>
        <w:t xml:space="preserve"> и заштити изворе воде.</w:t>
      </w:r>
    </w:p>
    <w:p w:rsidR="002C1D77" w:rsidRPr="00AA307C" w:rsidRDefault="00DC05B0" w:rsidP="002C165A">
      <w:pPr>
        <w:numPr>
          <w:ilvl w:val="0"/>
          <w:numId w:val="1"/>
        </w:numPr>
        <w:spacing w:after="120" w:line="276" w:lineRule="auto"/>
        <w:ind w:left="403" w:hanging="403"/>
        <w:rPr>
          <w:b/>
          <w:lang w:val="sr-Cyrl-CS"/>
        </w:rPr>
      </w:pPr>
      <w:r w:rsidRPr="00AA307C">
        <w:rPr>
          <w:rStyle w:val="Bodytext2Bold"/>
          <w:lang w:val="sr-Cyrl-CS"/>
        </w:rPr>
        <w:t xml:space="preserve">Разматрање пошумљавања. </w:t>
      </w:r>
      <w:r w:rsidRPr="00AA307C">
        <w:rPr>
          <w:color w:val="000000"/>
          <w:lang w:val="sr-Cyrl-CS"/>
        </w:rPr>
        <w:t>Пошумљавање подразумева садњу нових шума на земљишту на коме нема дрвећа, понекад је то земљиште са ког је претходно посечена шума или је оно било деградирано. Како дрвеће расте, оно узима CO</w:t>
      </w:r>
      <w:r w:rsidRPr="00AA307C">
        <w:rPr>
          <w:vertAlign w:val="subscript"/>
          <w:lang w:val="sr-Cyrl-CS"/>
        </w:rPr>
        <w:t>2</w:t>
      </w:r>
      <w:r w:rsidRPr="00AA307C">
        <w:rPr>
          <w:color w:val="000000"/>
          <w:lang w:val="sr-Cyrl-CS"/>
        </w:rPr>
        <w:t xml:space="preserve"> из атмосфере и </w:t>
      </w:r>
      <w:proofErr w:type="spellStart"/>
      <w:r w:rsidRPr="00AA307C">
        <w:rPr>
          <w:color w:val="000000"/>
          <w:lang w:val="sr-Cyrl-CS"/>
        </w:rPr>
        <w:t>складишти</w:t>
      </w:r>
      <w:proofErr w:type="spellEnd"/>
      <w:r w:rsidRPr="00AA307C">
        <w:rPr>
          <w:color w:val="000000"/>
          <w:lang w:val="sr-Cyrl-CS"/>
        </w:rPr>
        <w:t xml:space="preserve"> га у биомаси и у тлу. Уколико би се спровело пошумљавање великих размера, земљиште које је неопходно за усеве </w:t>
      </w:r>
      <w:r w:rsidRPr="00AA307C">
        <w:rPr>
          <w:color w:val="000000"/>
          <w:lang w:val="sr-Cyrl-CS"/>
        </w:rPr>
        <w:lastRenderedPageBreak/>
        <w:t>или узгој стоке било би заузето, што би повећало цене хране. Размотрите колико земљишта би било неопходно за политике пошумљавања које предлажу ваша и друге групе.</w:t>
      </w:r>
    </w:p>
    <w:p w:rsidR="002C1D77" w:rsidRPr="00AA307C" w:rsidRDefault="00DC05B0" w:rsidP="002C165A">
      <w:pPr>
        <w:numPr>
          <w:ilvl w:val="0"/>
          <w:numId w:val="1"/>
        </w:numPr>
        <w:spacing w:after="120" w:line="276" w:lineRule="auto"/>
        <w:ind w:left="400" w:hanging="400"/>
        <w:rPr>
          <w:lang w:val="sr-Cyrl-CS"/>
        </w:rPr>
      </w:pPr>
      <w:r w:rsidRPr="00AA307C">
        <w:rPr>
          <w:b/>
          <w:color w:val="000000"/>
          <w:lang w:val="sr-Cyrl-CS"/>
        </w:rPr>
        <w:t>Смањење емисија метана, азотног оксида и других гасова са ефектом стаклене баште.</w:t>
      </w:r>
      <w:r w:rsidRPr="00AA307C">
        <w:rPr>
          <w:lang w:val="sr-Cyrl-CS"/>
        </w:rPr>
        <w:t xml:space="preserve"> CO</w:t>
      </w:r>
      <w:r w:rsidRPr="00AA307C">
        <w:rPr>
          <w:vertAlign w:val="subscript"/>
          <w:lang w:val="sr-Cyrl-CS"/>
        </w:rPr>
        <w:t>2</w:t>
      </w:r>
      <w:r w:rsidRPr="00AA307C">
        <w:rPr>
          <w:lang w:val="sr-Cyrl-CS"/>
        </w:rPr>
        <w:t xml:space="preserve"> је најпознатији гас са ефектом стаклене баште (GHG), али други гасови проузрокују око једне четвртине глобалног загревања. Ту спадају метан (CH</w:t>
      </w:r>
      <w:r w:rsidRPr="00AA307C">
        <w:rPr>
          <w:vertAlign w:val="subscript"/>
          <w:lang w:val="sr-Cyrl-CS"/>
        </w:rPr>
        <w:t>4</w:t>
      </w:r>
      <w:r w:rsidRPr="00AA307C">
        <w:rPr>
          <w:lang w:val="sr-Cyrl-CS"/>
        </w:rPr>
        <w:t>), азотни оксид (N</w:t>
      </w:r>
      <w:r w:rsidRPr="00AA307C">
        <w:rPr>
          <w:vertAlign w:val="subscript"/>
          <w:lang w:val="sr-Cyrl-CS"/>
        </w:rPr>
        <w:t>2</w:t>
      </w:r>
      <w:r w:rsidRPr="00AA307C">
        <w:rPr>
          <w:lang w:val="sr-Cyrl-CS"/>
        </w:rPr>
        <w:t xml:space="preserve">O) и широк спектар </w:t>
      </w:r>
      <w:proofErr w:type="spellStart"/>
      <w:r w:rsidRPr="00AA307C">
        <w:rPr>
          <w:lang w:val="sr-Cyrl-CS"/>
        </w:rPr>
        <w:t>флуороугљеника</w:t>
      </w:r>
      <w:proofErr w:type="spellEnd"/>
      <w:r w:rsidRPr="00AA307C">
        <w:rPr>
          <w:lang w:val="sr-Cyrl-CS"/>
        </w:rPr>
        <w:t xml:space="preserve"> и других сродних </w:t>
      </w:r>
      <w:proofErr w:type="spellStart"/>
      <w:r w:rsidRPr="00AA307C">
        <w:rPr>
          <w:lang w:val="sr-Cyrl-CS"/>
        </w:rPr>
        <w:t>флуорованих</w:t>
      </w:r>
      <w:proofErr w:type="spellEnd"/>
      <w:r w:rsidRPr="00AA307C">
        <w:rPr>
          <w:lang w:val="sr-Cyrl-CS"/>
        </w:rPr>
        <w:t xml:space="preserve"> једињења (тзв. „F-гасова“). Молекул по молекул, многи гасови који нису CO</w:t>
      </w:r>
      <w:r w:rsidRPr="00AA307C">
        <w:rPr>
          <w:vertAlign w:val="subscript"/>
          <w:lang w:val="sr-Cyrl-CS"/>
        </w:rPr>
        <w:t>2</w:t>
      </w:r>
      <w:r w:rsidRPr="00AA307C">
        <w:rPr>
          <w:lang w:val="sr-Cyrl-CS"/>
        </w:rPr>
        <w:t xml:space="preserve"> ће у наредном веку допринети десетинама, стотинама, па чак и хиљадама пута више глобалном загревању него CO</w:t>
      </w:r>
      <w:r w:rsidRPr="00AA307C">
        <w:rPr>
          <w:vertAlign w:val="subscript"/>
          <w:lang w:val="sr-Cyrl-CS"/>
        </w:rPr>
        <w:t>2</w:t>
      </w:r>
      <w:r w:rsidRPr="00AA307C">
        <w:rPr>
          <w:lang w:val="sr-Cyrl-CS"/>
        </w:rPr>
        <w:t>. Иако су њихове концентрације ниске, оне се брзо увећавају.</w:t>
      </w:r>
    </w:p>
    <w:p w:rsidR="002C1D77" w:rsidRPr="00AA307C" w:rsidRDefault="00DC05B0" w:rsidP="002C165A">
      <w:pPr>
        <w:keepLines/>
        <w:numPr>
          <w:ilvl w:val="0"/>
          <w:numId w:val="1"/>
        </w:numPr>
        <w:spacing w:after="120" w:line="276" w:lineRule="auto"/>
        <w:ind w:left="403" w:hanging="403"/>
        <w:rPr>
          <w:lang w:val="sr-Cyrl-CS"/>
        </w:rPr>
      </w:pPr>
      <w:r w:rsidRPr="00AA307C">
        <w:rPr>
          <w:b/>
          <w:lang w:val="sr-Cyrl-CS"/>
        </w:rPr>
        <w:t xml:space="preserve">Одлучивање о потреби инвестирања у истраживање и развој за нове </w:t>
      </w:r>
      <w:proofErr w:type="spellStart"/>
      <w:r w:rsidRPr="00AA307C">
        <w:rPr>
          <w:b/>
          <w:lang w:val="sr-Cyrl-CS"/>
        </w:rPr>
        <w:t>нискотарифне</w:t>
      </w:r>
      <w:proofErr w:type="spellEnd"/>
      <w:r w:rsidRPr="00AA307C">
        <w:rPr>
          <w:b/>
          <w:lang w:val="sr-Cyrl-CS"/>
        </w:rPr>
        <w:t xml:space="preserve"> изворе енергије нултог </w:t>
      </w:r>
      <w:proofErr w:type="spellStart"/>
      <w:r w:rsidRPr="00AA307C">
        <w:rPr>
          <w:b/>
          <w:lang w:val="sr-Cyrl-CS"/>
        </w:rPr>
        <w:t>угљеничног</w:t>
      </w:r>
      <w:proofErr w:type="spellEnd"/>
      <w:r w:rsidRPr="00AA307C">
        <w:rPr>
          <w:b/>
          <w:lang w:val="sr-Cyrl-CS"/>
        </w:rPr>
        <w:t xml:space="preserve"> отиска.</w:t>
      </w:r>
      <w:r w:rsidRPr="00AA307C">
        <w:rPr>
          <w:lang w:val="sr-Cyrl-CS"/>
        </w:rPr>
        <w:t xml:space="preserve"> Поједини научници верују да неки нови тип нуклеарне енергије, попут фисије торијума или нуклеарне фузије, може да представља најбољи енергетски извор за замену фосилне енергије, тврдећи да би такве технологије могле да обезбеде велике количине </w:t>
      </w:r>
      <w:proofErr w:type="spellStart"/>
      <w:r w:rsidRPr="00AA307C">
        <w:rPr>
          <w:lang w:val="sr-Cyrl-CS"/>
        </w:rPr>
        <w:t>нискотарифне</w:t>
      </w:r>
      <w:proofErr w:type="spellEnd"/>
      <w:r w:rsidRPr="00AA307C">
        <w:rPr>
          <w:lang w:val="sr-Cyrl-CS"/>
        </w:rPr>
        <w:t xml:space="preserve"> електричне енергију нултог </w:t>
      </w:r>
      <w:proofErr w:type="spellStart"/>
      <w:r w:rsidRPr="00AA307C">
        <w:rPr>
          <w:lang w:val="sr-Cyrl-CS"/>
        </w:rPr>
        <w:t>угљеничног</w:t>
      </w:r>
      <w:proofErr w:type="spellEnd"/>
      <w:r w:rsidRPr="00AA307C">
        <w:rPr>
          <w:lang w:val="sr-Cyrl-CS"/>
        </w:rPr>
        <w:t xml:space="preserve"> отиска. Више реномираних универзитета и компанија истражује </w:t>
      </w:r>
      <w:proofErr w:type="spellStart"/>
      <w:r w:rsidRPr="00AA307C">
        <w:rPr>
          <w:lang w:val="sr-Cyrl-CS"/>
        </w:rPr>
        <w:t>обећавајућа</w:t>
      </w:r>
      <w:proofErr w:type="spellEnd"/>
      <w:r w:rsidRPr="00AA307C">
        <w:rPr>
          <w:lang w:val="sr-Cyrl-CS"/>
        </w:rPr>
        <w:t xml:space="preserve"> нова решења у области нуклеарне енергије. Ипак, те нове технологије за сада нису доступне и потребна су значајна улагања да би постале комерцијално одрживе.</w:t>
      </w:r>
    </w:p>
    <w:p w:rsidR="002C1D77" w:rsidRPr="00AA307C" w:rsidRDefault="00DC05B0" w:rsidP="002C165A">
      <w:pPr>
        <w:numPr>
          <w:ilvl w:val="0"/>
          <w:numId w:val="1"/>
        </w:numPr>
        <w:spacing w:after="120" w:line="276" w:lineRule="auto"/>
        <w:ind w:left="403" w:hanging="403"/>
        <w:rPr>
          <w:lang w:val="sr-Cyrl-CS"/>
        </w:rPr>
      </w:pPr>
      <w:r w:rsidRPr="00AA307C">
        <w:rPr>
          <w:b/>
          <w:color w:val="000000"/>
          <w:lang w:val="sr-Cyrl-CS"/>
        </w:rPr>
        <w:t>Одлучивање о могућностима за значајан развој технологије смањења угљен-диоксида</w:t>
      </w:r>
      <w:r w:rsidRPr="00AA307C">
        <w:rPr>
          <w:b/>
          <w:lang w:val="sr-Cyrl-CS"/>
        </w:rPr>
        <w:t>.</w:t>
      </w:r>
      <w:r w:rsidRPr="00AA307C">
        <w:rPr>
          <w:lang w:val="sr-Cyrl-CS"/>
        </w:rPr>
        <w:t xml:space="preserve"> Област технологије уклањања угљен-диоксида (CDR) у настајању тражи начине да уклони CO2 који се већ налази у атмосфери. Ове технологије крећу се од промена у пољопривредним поступцима које се могу применити већ данас до теоријских и недоказаних технологија као што је „</w:t>
      </w:r>
      <w:proofErr w:type="spellStart"/>
      <w:r w:rsidRPr="00AA307C">
        <w:rPr>
          <w:lang w:val="sr-Cyrl-CS"/>
        </w:rPr>
        <w:t>Direct</w:t>
      </w:r>
      <w:proofErr w:type="spellEnd"/>
      <w:r w:rsidRPr="00AA307C">
        <w:rPr>
          <w:lang w:val="sr-Cyrl-CS"/>
        </w:rPr>
        <w:t xml:space="preserve"> </w:t>
      </w:r>
      <w:proofErr w:type="spellStart"/>
      <w:r w:rsidRPr="00AA307C">
        <w:rPr>
          <w:lang w:val="sr-Cyrl-CS"/>
        </w:rPr>
        <w:t>Air</w:t>
      </w:r>
      <w:proofErr w:type="spellEnd"/>
      <w:r w:rsidRPr="00AA307C">
        <w:rPr>
          <w:lang w:val="sr-Cyrl-CS"/>
        </w:rPr>
        <w:t xml:space="preserve"> </w:t>
      </w:r>
      <w:proofErr w:type="spellStart"/>
      <w:r w:rsidRPr="00AA307C">
        <w:rPr>
          <w:lang w:val="sr-Cyrl-CS"/>
        </w:rPr>
        <w:t>Capture</w:t>
      </w:r>
      <w:proofErr w:type="spellEnd"/>
      <w:r w:rsidRPr="00AA307C">
        <w:rPr>
          <w:lang w:val="sr-Cyrl-CS"/>
        </w:rPr>
        <w:t>“ (DAC). Ваша група може да се определи за улагање у ове технологије.</w:t>
      </w:r>
    </w:p>
    <w:p w:rsidR="002C1D77" w:rsidRPr="00AA307C" w:rsidRDefault="00DC05B0" w:rsidP="002C165A">
      <w:pPr>
        <w:numPr>
          <w:ilvl w:val="0"/>
          <w:numId w:val="1"/>
        </w:numPr>
        <w:tabs>
          <w:tab w:val="left" w:pos="355"/>
        </w:tabs>
        <w:spacing w:after="120" w:line="276" w:lineRule="auto"/>
        <w:ind w:left="403" w:hanging="403"/>
        <w:rPr>
          <w:lang w:val="sr-Cyrl-CS"/>
        </w:rPr>
      </w:pPr>
      <w:r w:rsidRPr="00AA307C">
        <w:rPr>
          <w:b/>
          <w:lang w:val="sr-Cyrl-CS"/>
        </w:rPr>
        <w:t>Разматрање увођења накнаде за емисије CO</w:t>
      </w:r>
      <w:r w:rsidRPr="00AA307C">
        <w:rPr>
          <w:b/>
          <w:vertAlign w:val="subscript"/>
          <w:lang w:val="sr-Cyrl-CS"/>
        </w:rPr>
        <w:t>2</w:t>
      </w:r>
      <w:r w:rsidRPr="00AA307C">
        <w:rPr>
          <w:b/>
          <w:lang w:val="sr-Cyrl-CS"/>
        </w:rPr>
        <w:t>.</w:t>
      </w:r>
      <w:r w:rsidRPr="00AA307C">
        <w:rPr>
          <w:lang w:val="sr-Cyrl-CS"/>
        </w:rPr>
        <w:t xml:space="preserve"> Фосилна горива и даље доминирају светским енергетским системом, а CO</w:t>
      </w:r>
      <w:r w:rsidRPr="00AA307C">
        <w:rPr>
          <w:vertAlign w:val="subscript"/>
          <w:lang w:val="sr-Cyrl-CS"/>
        </w:rPr>
        <w:t>2</w:t>
      </w:r>
      <w:r w:rsidRPr="00AA307C">
        <w:rPr>
          <w:lang w:val="sr-Cyrl-CS"/>
        </w:rPr>
        <w:t xml:space="preserve"> који емитују без сумње је највећи извор емисија GHG гасова. Економисти се слажу да је накнада за </w:t>
      </w:r>
      <w:proofErr w:type="spellStart"/>
      <w:r w:rsidRPr="00AA307C">
        <w:rPr>
          <w:lang w:val="sr-Cyrl-CS"/>
        </w:rPr>
        <w:t>угљенични</w:t>
      </w:r>
      <w:proofErr w:type="spellEnd"/>
      <w:r w:rsidRPr="00AA307C">
        <w:rPr>
          <w:lang w:val="sr-Cyrl-CS"/>
        </w:rPr>
        <w:t xml:space="preserve"> отисак најбољи начин за смањивање глобалних емисија гасова са ефектом стаклене баште (GHG). Размотрите увођење накнаде за </w:t>
      </w:r>
      <w:proofErr w:type="spellStart"/>
      <w:r w:rsidRPr="00AA307C">
        <w:rPr>
          <w:lang w:val="sr-Cyrl-CS"/>
        </w:rPr>
        <w:t>угљенични</w:t>
      </w:r>
      <w:proofErr w:type="spellEnd"/>
      <w:r w:rsidRPr="00AA307C">
        <w:rPr>
          <w:lang w:val="sr-Cyrl-CS"/>
        </w:rPr>
        <w:t xml:space="preserve"> отисак коју би можда требало постепено уводити да би индустрија и потрошачи могли да се прилагоде. Ти приходи би могли да се врате у јавне услуге, умање трошкове за друге политике, смање ваше фискалне дефиците или обезбеде помоћ земљама у развоју да смање своје емисије. Иако су накнаде за </w:t>
      </w:r>
      <w:proofErr w:type="spellStart"/>
      <w:r w:rsidRPr="00AA307C">
        <w:rPr>
          <w:lang w:val="sr-Cyrl-CS"/>
        </w:rPr>
        <w:t>угљенични</w:t>
      </w:r>
      <w:proofErr w:type="spellEnd"/>
      <w:r w:rsidRPr="00AA307C">
        <w:rPr>
          <w:lang w:val="sr-Cyrl-CS"/>
        </w:rPr>
        <w:t xml:space="preserve"> отисак уведене у неким од ваших земаља, савезних држава и региона, већина је нижа од 30–50 УСД по тони CO</w:t>
      </w:r>
      <w:r w:rsidRPr="00AA307C">
        <w:rPr>
          <w:vertAlign w:val="subscript"/>
          <w:lang w:val="sr-Cyrl-CS"/>
        </w:rPr>
        <w:t>2</w:t>
      </w:r>
      <w:r w:rsidRPr="00AA307C">
        <w:rPr>
          <w:lang w:val="sr-Cyrl-CS"/>
        </w:rPr>
        <w:t xml:space="preserve"> и већих накнада које већина економиста препоручује. Индустрија фосилних горива се противи надокнадама за </w:t>
      </w:r>
      <w:proofErr w:type="spellStart"/>
      <w:r w:rsidRPr="00AA307C">
        <w:rPr>
          <w:lang w:val="sr-Cyrl-CS"/>
        </w:rPr>
        <w:t>угљенични</w:t>
      </w:r>
      <w:proofErr w:type="spellEnd"/>
      <w:r w:rsidRPr="00AA307C">
        <w:rPr>
          <w:lang w:val="sr-Cyrl-CS"/>
        </w:rPr>
        <w:t xml:space="preserve"> отисак, као и компаније које су у великој мери зависне од фосилних горива.</w:t>
      </w:r>
    </w:p>
    <w:p w:rsidR="002C1D77" w:rsidRPr="00AA307C" w:rsidRDefault="00DC05B0" w:rsidP="002C165A">
      <w:pPr>
        <w:spacing w:after="120" w:line="276" w:lineRule="auto"/>
        <w:rPr>
          <w:b/>
          <w:lang w:val="sr-Cyrl-CS"/>
        </w:rPr>
      </w:pPr>
      <w:r w:rsidRPr="00AA307C">
        <w:rPr>
          <w:b/>
          <w:color w:val="000000"/>
          <w:lang w:val="sr-Cyrl-CS"/>
        </w:rPr>
        <w:t>Додатне теме за разматрање</w:t>
      </w:r>
    </w:p>
    <w:p w:rsidR="002C1D77" w:rsidRPr="00AA307C" w:rsidRDefault="00DC05B0" w:rsidP="000A6D24">
      <w:pPr>
        <w:spacing w:after="120" w:line="276" w:lineRule="auto"/>
        <w:rPr>
          <w:lang w:val="sr-Cyrl-CS"/>
        </w:rPr>
      </w:pPr>
      <w:r w:rsidRPr="00AA307C">
        <w:rPr>
          <w:color w:val="000000"/>
          <w:lang w:val="sr-Cyrl-CS"/>
        </w:rPr>
        <w:t>Ви препознајете да су климатске промене стварне и да их превасходно изазива сагоревање фосилних горива, те да представљају велике ризике по народе широм света, укључујући и ваш. Климатске промене садрже озбиљан мултипликатор претњи које подривају вашу националну безбедност, будући да штета од климатских промена све више узрокује сукобе и миграције, што већ сада доводи до негативних последица одређених политика и увођења политика противљења имиграцији.</w:t>
      </w:r>
    </w:p>
    <w:p w:rsidR="002C1D77" w:rsidRPr="00AA307C" w:rsidRDefault="00DC05B0" w:rsidP="000A6D24">
      <w:pPr>
        <w:spacing w:after="120" w:line="276" w:lineRule="auto"/>
        <w:rPr>
          <w:lang w:val="sr-Cyrl-CS"/>
        </w:rPr>
      </w:pPr>
      <w:r w:rsidRPr="00AA307C">
        <w:rPr>
          <w:color w:val="000000"/>
          <w:lang w:val="sr-Cyrl-CS"/>
        </w:rPr>
        <w:t xml:space="preserve">Истовремено, ваше земље зависе од фосилних горива – оне су одговорне за 36% данашњих глобалних емисија гасова са ефектом стаклене баште (GHG), као и за далеко веће учешће у кумулативним емисијама након индустријске револуције. Привреде појединих земаља из ваше групе ослањају се на извоз горива, нарочито Русија (нафта и гас), Аустралија (угаљ) и Канада (нафта из катранског песка). Сједињене Државе су најавиле своју намеру да се повуку из Париског споразума о клими из 2015, а савезна влада САД укида многе климатски повољне политике. За то време, </w:t>
      </w:r>
      <w:r w:rsidRPr="00AA307C">
        <w:rPr>
          <w:rStyle w:val="Bodytext2"/>
          <w:lang w:val="sr-Cyrl-CS"/>
        </w:rPr>
        <w:t>десетине држава</w:t>
      </w:r>
      <w:r w:rsidRPr="00AA307C">
        <w:rPr>
          <w:lang w:val="sr-Cyrl-CS"/>
        </w:rPr>
        <w:t xml:space="preserve"> </w:t>
      </w:r>
      <w:r w:rsidRPr="00AA307C">
        <w:rPr>
          <w:color w:val="000000"/>
          <w:lang w:val="sr-Cyrl-CS"/>
        </w:rPr>
        <w:t>и стотине градова, округа, и предузећа у САД издали су проглас „</w:t>
      </w:r>
      <w:r w:rsidRPr="00AA307C">
        <w:rPr>
          <w:rStyle w:val="Bodytext2"/>
          <w:lang w:val="sr-Cyrl-CS"/>
        </w:rPr>
        <w:t>не идемо никуда</w:t>
      </w:r>
      <w:r w:rsidRPr="00AA307C">
        <w:rPr>
          <w:color w:val="000000"/>
          <w:lang w:val="sr-Cyrl-CS"/>
        </w:rPr>
        <w:t>“</w:t>
      </w:r>
      <w:r w:rsidRPr="00AA307C">
        <w:rPr>
          <w:lang w:val="sr-Cyrl-CS"/>
        </w:rPr>
        <w:t xml:space="preserve"> </w:t>
      </w:r>
      <w:r w:rsidRPr="00AA307C">
        <w:rPr>
          <w:color w:val="000000"/>
          <w:lang w:val="sr-Cyrl-CS"/>
        </w:rPr>
        <w:t xml:space="preserve">и заложили се за испуњавање или надмашивање свог удела у обавезама САД. Многе владе и компаније сматрају да су климатски повољне политике добре за привреду. Енергетска ефикасност и обновљиви извори попут </w:t>
      </w:r>
      <w:r w:rsidRPr="00AA307C">
        <w:rPr>
          <w:color w:val="000000"/>
          <w:lang w:val="sr-Cyrl-CS"/>
        </w:rPr>
        <w:lastRenderedPageBreak/>
        <w:t>соларне или енергије ветра, често су профитабилни, отварају нова радна места и побољшавају здравље становништва.</w:t>
      </w:r>
    </w:p>
    <w:p w:rsidR="002C1D77" w:rsidRPr="00AA307C" w:rsidRDefault="00DC05B0">
      <w:pPr>
        <w:spacing w:line="276" w:lineRule="auto"/>
        <w:rPr>
          <w:lang w:val="sr-Cyrl-CS"/>
        </w:rPr>
      </w:pPr>
      <w:r w:rsidRPr="00AA307C">
        <w:rPr>
          <w:color w:val="000000"/>
          <w:lang w:val="sr-Cyrl-CS"/>
        </w:rPr>
        <w:t>Иако ваше земље настоје да смање сопствене емисије GHG гасова, примећујете да је Кина највећи емитер на свету (са 28% глобалних емисија), а да земље у развоју и оне у брзом успону заједно емитују око 65% глобалних емисија, без обзира на то што су у тим земљама нивои емисија по особи ниски.</w:t>
      </w:r>
    </w:p>
    <w:sectPr w:rsidR="002C1D77" w:rsidRPr="00AA307C" w:rsidSect="004D0CFD">
      <w:footerReference w:type="default" r:id="rId8"/>
      <w:pgSz w:w="11906" w:h="16838" w:code="9"/>
      <w:pgMar w:top="851" w:right="1134" w:bottom="1134" w:left="1247" w:header="284" w:footer="284"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1F7D" w:rsidRPr="00AA307C" w:rsidRDefault="00B41F7D">
      <w:pPr>
        <w:spacing w:line="240" w:lineRule="auto"/>
      </w:pPr>
      <w:r w:rsidRPr="00AA307C">
        <w:separator/>
      </w:r>
    </w:p>
  </w:endnote>
  <w:endnote w:type="continuationSeparator" w:id="0">
    <w:p w:rsidR="00B41F7D" w:rsidRPr="00AA307C" w:rsidRDefault="00B41F7D">
      <w:pPr>
        <w:spacing w:line="240" w:lineRule="auto"/>
      </w:pPr>
      <w:r w:rsidRPr="00AA307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EE"/>
    <w:family w:val="swiss"/>
    <w:pitch w:val="variable"/>
    <w:sig w:usb0="E10022FF" w:usb1="C000E47F" w:usb2="00000029" w:usb3="00000000" w:csb0="000001D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0000000000000000000"/>
    <w:charset w:val="80"/>
    <w:family w:val="roman"/>
    <w:notTrueType/>
    <w:pitch w:val="default"/>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0CFD" w:rsidRPr="00AA307C" w:rsidRDefault="004D0CFD">
    <w:pPr>
      <w:pStyle w:val="Footer"/>
      <w:rPr>
        <w:i/>
        <w:sz w:val="18"/>
        <w:szCs w:val="18"/>
      </w:rPr>
    </w:pPr>
    <w:proofErr w:type="spellStart"/>
    <w:r w:rsidRPr="00AA307C">
      <w:rPr>
        <w:i/>
        <w:sz w:val="18"/>
        <w:szCs w:val="18"/>
      </w:rPr>
      <w:t>Развили</w:t>
    </w:r>
    <w:proofErr w:type="spellEnd"/>
    <w:r w:rsidRPr="00AA307C">
      <w:rPr>
        <w:i/>
        <w:sz w:val="18"/>
        <w:szCs w:val="18"/>
      </w:rPr>
      <w:t xml:space="preserve">: Climate Interactive, MIT Sloan School of Management Sustainability Initiative, ESB Business School и UMass Lowell Climate Change Initiative. </w:t>
    </w:r>
    <w:proofErr w:type="spellStart"/>
    <w:r w:rsidRPr="00AA307C">
      <w:rPr>
        <w:i/>
        <w:sz w:val="18"/>
        <w:szCs w:val="18"/>
      </w:rPr>
      <w:t>Последњи</w:t>
    </w:r>
    <w:proofErr w:type="spellEnd"/>
    <w:r w:rsidRPr="00AA307C">
      <w:rPr>
        <w:i/>
        <w:sz w:val="18"/>
        <w:szCs w:val="18"/>
      </w:rPr>
      <w:t xml:space="preserve"> </w:t>
    </w:r>
    <w:proofErr w:type="spellStart"/>
    <w:r w:rsidRPr="00AA307C">
      <w:rPr>
        <w:i/>
        <w:sz w:val="18"/>
        <w:szCs w:val="18"/>
      </w:rPr>
      <w:t>пут</w:t>
    </w:r>
    <w:proofErr w:type="spellEnd"/>
    <w:r w:rsidRPr="00AA307C">
      <w:rPr>
        <w:i/>
        <w:sz w:val="18"/>
        <w:szCs w:val="18"/>
      </w:rPr>
      <w:t xml:space="preserve"> </w:t>
    </w:r>
    <w:proofErr w:type="spellStart"/>
    <w:r w:rsidRPr="00AA307C">
      <w:rPr>
        <w:i/>
        <w:sz w:val="18"/>
        <w:szCs w:val="18"/>
      </w:rPr>
      <w:t>ажурирано</w:t>
    </w:r>
    <w:proofErr w:type="spellEnd"/>
    <w:r w:rsidRPr="00AA307C">
      <w:rPr>
        <w:i/>
        <w:sz w:val="18"/>
        <w:szCs w:val="18"/>
      </w:rPr>
      <w:t xml:space="preserve"> у </w:t>
    </w:r>
    <w:proofErr w:type="spellStart"/>
    <w:r w:rsidRPr="00AA307C">
      <w:rPr>
        <w:i/>
        <w:sz w:val="18"/>
        <w:szCs w:val="18"/>
      </w:rPr>
      <w:t>септембру</w:t>
    </w:r>
    <w:proofErr w:type="spellEnd"/>
    <w:r w:rsidRPr="00AA307C">
      <w:rPr>
        <w:i/>
        <w:sz w:val="18"/>
        <w:szCs w:val="18"/>
      </w:rPr>
      <w:t xml:space="preserve"> 2019. </w:t>
    </w:r>
    <w:hyperlink r:id="rId1" w:history="1">
      <w:r w:rsidRPr="00AA307C">
        <w:rPr>
          <w:rStyle w:val="Hyperlink"/>
          <w:i/>
          <w:sz w:val="18"/>
          <w:szCs w:val="18"/>
        </w:rPr>
        <w:t>www.cllmatelnteractlve.org</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1F7D" w:rsidRPr="00AA307C" w:rsidRDefault="00B41F7D"/>
  </w:footnote>
  <w:footnote w:type="continuationSeparator" w:id="0">
    <w:p w:rsidR="00B41F7D" w:rsidRPr="00AA307C" w:rsidRDefault="00B41F7D"/>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8DA679E8"/>
    <w:lvl w:ilvl="0">
      <w:start w:val="1"/>
      <w:numFmt w:val="decimal"/>
      <w:pStyle w:val="Heading1"/>
      <w:lvlText w:val="%1."/>
      <w:legacy w:legacy="1" w:legacySpace="0"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413B2488"/>
    <w:multiLevelType w:val="multilevel"/>
    <w:tmpl w:val="69EAB3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81"/>
  <w:drawingGridVerticalSpacing w:val="181"/>
  <w:characterSpacingControl w:val="compressPunctuation"/>
  <w:hdrShapeDefaults>
    <o:shapedefaults v:ext="edit" spidmax="5121"/>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1D77"/>
    <w:rsid w:val="0006720E"/>
    <w:rsid w:val="000A6D24"/>
    <w:rsid w:val="002C165A"/>
    <w:rsid w:val="002C1D77"/>
    <w:rsid w:val="004D0CFD"/>
    <w:rsid w:val="00571732"/>
    <w:rsid w:val="005C1752"/>
    <w:rsid w:val="006D3A3F"/>
    <w:rsid w:val="00720535"/>
    <w:rsid w:val="007412A6"/>
    <w:rsid w:val="007835BC"/>
    <w:rsid w:val="007A09A4"/>
    <w:rsid w:val="0091067F"/>
    <w:rsid w:val="00A26097"/>
    <w:rsid w:val="00AA307C"/>
    <w:rsid w:val="00B15964"/>
    <w:rsid w:val="00B41F7D"/>
    <w:rsid w:val="00BE2C0D"/>
    <w:rsid w:val="00BE3933"/>
    <w:rsid w:val="00C5722C"/>
    <w:rsid w:val="00DC05B0"/>
    <w:rsid w:val="00ED4F66"/>
    <w:rsid w:val="00FE51C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15:docId w15:val="{81BA8ED5-95C1-4D03-B518-D00C06A30F30}"/>
  <w:attachedTemplate r:id="relationI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n-US" w:eastAsia="en-US" w:bidi="en-US"/>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0CFD"/>
    <w:pPr>
      <w:widowControl/>
      <w:spacing w:line="288" w:lineRule="auto"/>
      <w:jc w:val="both"/>
    </w:pPr>
    <w:rPr>
      <w:sz w:val="22"/>
      <w:szCs w:val="22"/>
      <w:lang w:bidi="ar-SA"/>
    </w:rPr>
  </w:style>
  <w:style w:type="paragraph" w:styleId="Heading1">
    <w:name w:val="heading 1"/>
    <w:basedOn w:val="Normal"/>
    <w:next w:val="Normal"/>
    <w:link w:val="Heading1Char"/>
    <w:qFormat/>
    <w:rsid w:val="004D0CFD"/>
    <w:pPr>
      <w:numPr>
        <w:numId w:val="2"/>
      </w:numPr>
      <w:ind w:left="567" w:hanging="567"/>
      <w:outlineLvl w:val="0"/>
    </w:pPr>
    <w:rPr>
      <w:kern w:val="28"/>
    </w:rPr>
  </w:style>
  <w:style w:type="paragraph" w:styleId="Heading2">
    <w:name w:val="heading 2"/>
    <w:basedOn w:val="Normal"/>
    <w:next w:val="Normal"/>
    <w:link w:val="Heading2Char"/>
    <w:qFormat/>
    <w:rsid w:val="004D0CFD"/>
    <w:pPr>
      <w:numPr>
        <w:ilvl w:val="1"/>
        <w:numId w:val="2"/>
      </w:numPr>
      <w:ind w:left="567" w:hanging="567"/>
      <w:outlineLvl w:val="1"/>
    </w:pPr>
  </w:style>
  <w:style w:type="paragraph" w:styleId="Heading3">
    <w:name w:val="heading 3"/>
    <w:basedOn w:val="Normal"/>
    <w:next w:val="Normal"/>
    <w:link w:val="Heading3Char"/>
    <w:qFormat/>
    <w:rsid w:val="004D0CFD"/>
    <w:pPr>
      <w:numPr>
        <w:ilvl w:val="2"/>
        <w:numId w:val="2"/>
      </w:numPr>
      <w:ind w:left="567" w:hanging="567"/>
      <w:outlineLvl w:val="2"/>
    </w:pPr>
  </w:style>
  <w:style w:type="paragraph" w:styleId="Heading4">
    <w:name w:val="heading 4"/>
    <w:basedOn w:val="Normal"/>
    <w:next w:val="Normal"/>
    <w:link w:val="Heading4Char"/>
    <w:qFormat/>
    <w:rsid w:val="004D0CFD"/>
    <w:pPr>
      <w:numPr>
        <w:ilvl w:val="3"/>
        <w:numId w:val="2"/>
      </w:numPr>
      <w:ind w:left="567" w:hanging="567"/>
      <w:outlineLvl w:val="3"/>
    </w:pPr>
  </w:style>
  <w:style w:type="paragraph" w:styleId="Heading5">
    <w:name w:val="heading 5"/>
    <w:basedOn w:val="Normal"/>
    <w:next w:val="Normal"/>
    <w:link w:val="Heading5Char"/>
    <w:qFormat/>
    <w:rsid w:val="004D0CFD"/>
    <w:pPr>
      <w:numPr>
        <w:ilvl w:val="4"/>
        <w:numId w:val="2"/>
      </w:numPr>
      <w:ind w:left="567" w:hanging="567"/>
      <w:outlineLvl w:val="4"/>
    </w:pPr>
  </w:style>
  <w:style w:type="paragraph" w:styleId="Heading6">
    <w:name w:val="heading 6"/>
    <w:basedOn w:val="Normal"/>
    <w:next w:val="Normal"/>
    <w:link w:val="Heading6Char"/>
    <w:qFormat/>
    <w:rsid w:val="004D0CFD"/>
    <w:pPr>
      <w:numPr>
        <w:ilvl w:val="5"/>
        <w:numId w:val="2"/>
      </w:numPr>
      <w:ind w:left="567" w:hanging="567"/>
      <w:outlineLvl w:val="5"/>
    </w:pPr>
  </w:style>
  <w:style w:type="paragraph" w:styleId="Heading7">
    <w:name w:val="heading 7"/>
    <w:basedOn w:val="Normal"/>
    <w:next w:val="Normal"/>
    <w:link w:val="Heading7Char"/>
    <w:qFormat/>
    <w:rsid w:val="004D0CFD"/>
    <w:pPr>
      <w:numPr>
        <w:ilvl w:val="6"/>
        <w:numId w:val="2"/>
      </w:numPr>
      <w:ind w:left="567" w:hanging="567"/>
      <w:outlineLvl w:val="6"/>
    </w:pPr>
  </w:style>
  <w:style w:type="paragraph" w:styleId="Heading8">
    <w:name w:val="heading 8"/>
    <w:basedOn w:val="Normal"/>
    <w:next w:val="Normal"/>
    <w:link w:val="Heading8Char"/>
    <w:qFormat/>
    <w:rsid w:val="004D0CFD"/>
    <w:pPr>
      <w:numPr>
        <w:ilvl w:val="7"/>
        <w:numId w:val="2"/>
      </w:numPr>
      <w:ind w:left="567" w:hanging="567"/>
      <w:outlineLvl w:val="7"/>
    </w:pPr>
  </w:style>
  <w:style w:type="paragraph" w:styleId="Heading9">
    <w:name w:val="heading 9"/>
    <w:basedOn w:val="Normal"/>
    <w:next w:val="Normal"/>
    <w:link w:val="Heading9Char"/>
    <w:qFormat/>
    <w:rsid w:val="004D0CFD"/>
    <w:pPr>
      <w:numPr>
        <w:ilvl w:val="8"/>
        <w:numId w:val="2"/>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D0CFD"/>
    <w:rPr>
      <w:color w:val="0563C1" w:themeColor="hyperlink"/>
      <w:u w:val="single"/>
    </w:rPr>
  </w:style>
  <w:style w:type="character" w:customStyle="1" w:styleId="Heading11">
    <w:name w:val="Heading #1|1_"/>
    <w:basedOn w:val="DefaultParagraphFont"/>
    <w:link w:val="Heading110"/>
    <w:rsid w:val="00720535"/>
    <w:rPr>
      <w:rFonts w:ascii="Arial" w:eastAsia="Arial" w:hAnsi="Arial" w:cs="Arial"/>
      <w:b/>
      <w:bCs/>
      <w:i w:val="0"/>
      <w:iCs w:val="0"/>
      <w:smallCaps w:val="0"/>
      <w:strike w:val="0"/>
      <w:sz w:val="36"/>
      <w:szCs w:val="36"/>
      <w:u w:val="none"/>
    </w:rPr>
  </w:style>
  <w:style w:type="character" w:customStyle="1" w:styleId="Bodytext2">
    <w:name w:val="Body text|2"/>
    <w:basedOn w:val="DefaultParagraphFont"/>
    <w:semiHidden/>
    <w:unhideWhenUsed/>
    <w:rsid w:val="000A6D24"/>
    <w:rPr>
      <w:rFonts w:ascii="Times New Roman" w:eastAsia="Times New Roman" w:hAnsi="Times New Roman" w:cs="Times New Roman"/>
      <w:b w:val="0"/>
      <w:bCs w:val="0"/>
      <w:i w:val="0"/>
      <w:iCs w:val="0"/>
      <w:smallCaps w:val="0"/>
      <w:strike w:val="0"/>
      <w:color w:val="0000FE"/>
      <w:spacing w:val="0"/>
      <w:w w:val="100"/>
      <w:position w:val="0"/>
      <w:sz w:val="22"/>
      <w:szCs w:val="22"/>
      <w:u w:val="single"/>
      <w:lang w:eastAsia="en-US" w:bidi="en-US"/>
    </w:rPr>
  </w:style>
  <w:style w:type="character" w:customStyle="1" w:styleId="Bodytext20">
    <w:name w:val="Body text|2"/>
    <w:basedOn w:val="DefaultParagraphFont"/>
    <w:semiHidden/>
    <w:unhideWhenUsed/>
    <w:rsid w:val="000A6D24"/>
    <w:rPr>
      <w:rFonts w:ascii="Times New Roman" w:eastAsia="Times New Roman" w:hAnsi="Times New Roman" w:cs="Times New Roman"/>
      <w:b w:val="0"/>
      <w:bCs w:val="0"/>
      <w:i w:val="0"/>
      <w:iCs w:val="0"/>
      <w:smallCaps w:val="0"/>
      <w:strike w:val="0"/>
      <w:color w:val="0000FE"/>
      <w:spacing w:val="0"/>
      <w:w w:val="100"/>
      <w:position w:val="0"/>
      <w:sz w:val="22"/>
      <w:szCs w:val="22"/>
      <w:u w:val="none"/>
      <w:lang w:eastAsia="en-US" w:bidi="en-US"/>
    </w:rPr>
  </w:style>
  <w:style w:type="character" w:customStyle="1" w:styleId="Bodytext21">
    <w:name w:val="Body text|2"/>
    <w:basedOn w:val="DefaultParagraphFont"/>
    <w:semiHidden/>
    <w:unhideWhenUsed/>
    <w:rsid w:val="000A6D24"/>
    <w:rPr>
      <w:rFonts w:ascii="Times New Roman" w:eastAsia="Times New Roman" w:hAnsi="Times New Roman" w:cs="Times New Roman"/>
      <w:b w:val="0"/>
      <w:bCs w:val="0"/>
      <w:i w:val="0"/>
      <w:iCs w:val="0"/>
      <w:smallCaps w:val="0"/>
      <w:strike w:val="0"/>
      <w:color w:val="222222"/>
      <w:spacing w:val="0"/>
      <w:w w:val="100"/>
      <w:position w:val="0"/>
      <w:sz w:val="22"/>
      <w:szCs w:val="22"/>
      <w:u w:val="none"/>
      <w:lang w:eastAsia="en-US" w:bidi="en-US"/>
    </w:rPr>
  </w:style>
  <w:style w:type="character" w:customStyle="1" w:styleId="Bodytext2Bold">
    <w:name w:val="Body text|2 + Bold"/>
    <w:basedOn w:val="DefaultParagraphFont"/>
    <w:semiHidden/>
    <w:unhideWhenUsed/>
    <w:rsid w:val="000A6D24"/>
    <w:rPr>
      <w:rFonts w:ascii="Times New Roman" w:eastAsia="Times New Roman" w:hAnsi="Times New Roman" w:cs="Times New Roman"/>
      <w:b/>
      <w:bCs/>
      <w:i w:val="0"/>
      <w:iCs w:val="0"/>
      <w:smallCaps w:val="0"/>
      <w:strike w:val="0"/>
      <w:color w:val="000000"/>
      <w:spacing w:val="0"/>
      <w:w w:val="100"/>
      <w:position w:val="0"/>
      <w:sz w:val="22"/>
      <w:szCs w:val="22"/>
      <w:u w:val="none"/>
      <w:lang w:eastAsia="en-US" w:bidi="en-US"/>
    </w:rPr>
  </w:style>
  <w:style w:type="character" w:customStyle="1" w:styleId="Bodytext26pt">
    <w:name w:val="Body text|2 + 6 pt"/>
    <w:basedOn w:val="DefaultParagraphFont"/>
    <w:semiHidden/>
    <w:unhideWhenUsed/>
    <w:rsid w:val="000A6D24"/>
    <w:rPr>
      <w:rFonts w:ascii="Times New Roman" w:eastAsia="Times New Roman" w:hAnsi="Times New Roman" w:cs="Times New Roman"/>
      <w:b w:val="0"/>
      <w:bCs w:val="0"/>
      <w:i w:val="0"/>
      <w:iCs w:val="0"/>
      <w:smallCaps w:val="0"/>
      <w:strike w:val="0"/>
      <w:color w:val="000000"/>
      <w:spacing w:val="0"/>
      <w:w w:val="100"/>
      <w:position w:val="0"/>
      <w:sz w:val="12"/>
      <w:szCs w:val="12"/>
      <w:u w:val="none"/>
      <w:lang w:eastAsia="en-US" w:bidi="en-US"/>
    </w:rPr>
  </w:style>
  <w:style w:type="character" w:customStyle="1" w:styleId="Bodytext3NotBold">
    <w:name w:val="Body text|3 + Not Bold"/>
    <w:basedOn w:val="DefaultParagraphFont"/>
    <w:semiHidden/>
    <w:unhideWhenUsed/>
    <w:rsid w:val="000A6D24"/>
    <w:rPr>
      <w:rFonts w:ascii="Times New Roman" w:eastAsia="Times New Roman" w:hAnsi="Times New Roman" w:cs="Times New Roman"/>
      <w:b/>
      <w:bCs/>
      <w:i w:val="0"/>
      <w:iCs w:val="0"/>
      <w:smallCaps w:val="0"/>
      <w:strike w:val="0"/>
      <w:color w:val="000000"/>
      <w:spacing w:val="0"/>
      <w:w w:val="100"/>
      <w:position w:val="0"/>
      <w:sz w:val="22"/>
      <w:szCs w:val="22"/>
      <w:u w:val="none"/>
      <w:lang w:eastAsia="en-US" w:bidi="en-US"/>
    </w:rPr>
  </w:style>
  <w:style w:type="character" w:customStyle="1" w:styleId="Bodytext36ptNotBold">
    <w:name w:val="Body text|3 + 6 pt;Not Bold"/>
    <w:basedOn w:val="DefaultParagraphFont"/>
    <w:semiHidden/>
    <w:unhideWhenUsed/>
    <w:rsid w:val="000A6D24"/>
    <w:rPr>
      <w:rFonts w:ascii="Times New Roman" w:eastAsia="Times New Roman" w:hAnsi="Times New Roman" w:cs="Times New Roman"/>
      <w:b/>
      <w:bCs/>
      <w:i w:val="0"/>
      <w:iCs w:val="0"/>
      <w:smallCaps w:val="0"/>
      <w:strike w:val="0"/>
      <w:color w:val="000000"/>
      <w:spacing w:val="0"/>
      <w:w w:val="100"/>
      <w:position w:val="0"/>
      <w:sz w:val="12"/>
      <w:szCs w:val="12"/>
      <w:u w:val="none"/>
      <w:lang w:eastAsia="en-US" w:bidi="en-US"/>
    </w:rPr>
  </w:style>
  <w:style w:type="character" w:customStyle="1" w:styleId="Bodytext3">
    <w:name w:val="Body text|3"/>
    <w:basedOn w:val="DefaultParagraphFont"/>
    <w:semiHidden/>
    <w:unhideWhenUsed/>
    <w:rsid w:val="000A6D24"/>
    <w:rPr>
      <w:rFonts w:ascii="Times New Roman" w:eastAsia="Times New Roman" w:hAnsi="Times New Roman" w:cs="Times New Roman"/>
      <w:b/>
      <w:bCs/>
      <w:i w:val="0"/>
      <w:iCs w:val="0"/>
      <w:smallCaps w:val="0"/>
      <w:strike w:val="0"/>
      <w:color w:val="222222"/>
      <w:spacing w:val="0"/>
      <w:w w:val="100"/>
      <w:position w:val="0"/>
      <w:sz w:val="22"/>
      <w:szCs w:val="22"/>
      <w:u w:val="none"/>
      <w:lang w:eastAsia="en-US" w:bidi="en-US"/>
    </w:rPr>
  </w:style>
  <w:style w:type="character" w:customStyle="1" w:styleId="Bodytext26pt0">
    <w:name w:val="Body text|2 + 6 pt"/>
    <w:basedOn w:val="DefaultParagraphFont"/>
    <w:semiHidden/>
    <w:unhideWhenUsed/>
    <w:rsid w:val="000A6D24"/>
    <w:rPr>
      <w:rFonts w:ascii="Times New Roman" w:eastAsia="Times New Roman" w:hAnsi="Times New Roman" w:cs="Times New Roman"/>
      <w:b w:val="0"/>
      <w:bCs w:val="0"/>
      <w:i w:val="0"/>
      <w:iCs w:val="0"/>
      <w:smallCaps w:val="0"/>
      <w:strike w:val="0"/>
      <w:color w:val="222222"/>
      <w:spacing w:val="0"/>
      <w:w w:val="100"/>
      <w:position w:val="0"/>
      <w:sz w:val="12"/>
      <w:szCs w:val="12"/>
      <w:u w:val="none"/>
      <w:lang w:eastAsia="en-US" w:bidi="en-US"/>
    </w:rPr>
  </w:style>
  <w:style w:type="character" w:customStyle="1" w:styleId="Bodytext2Bold0">
    <w:name w:val="Body text|2 + Bold"/>
    <w:basedOn w:val="DefaultParagraphFont"/>
    <w:semiHidden/>
    <w:unhideWhenUsed/>
    <w:rsid w:val="000A6D24"/>
    <w:rPr>
      <w:rFonts w:ascii="Times New Roman" w:eastAsia="Times New Roman" w:hAnsi="Times New Roman" w:cs="Times New Roman"/>
      <w:b/>
      <w:bCs/>
      <w:i w:val="0"/>
      <w:iCs w:val="0"/>
      <w:smallCaps w:val="0"/>
      <w:strike w:val="0"/>
      <w:color w:val="222222"/>
      <w:spacing w:val="0"/>
      <w:w w:val="100"/>
      <w:position w:val="0"/>
      <w:sz w:val="22"/>
      <w:szCs w:val="22"/>
      <w:u w:val="none"/>
      <w:lang w:eastAsia="en-US" w:bidi="en-US"/>
    </w:rPr>
  </w:style>
  <w:style w:type="table" w:styleId="TableGrid">
    <w:name w:val="Table Grid"/>
    <w:basedOn w:val="TableNormal"/>
    <w:uiPriority w:val="39"/>
    <w:rsid w:val="004D0C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10">
    <w:name w:val="Heading #1|1"/>
    <w:basedOn w:val="Normal"/>
    <w:link w:val="Heading11"/>
    <w:qFormat/>
    <w:rsid w:val="00720535"/>
    <w:pPr>
      <w:widowControl w:val="0"/>
      <w:shd w:val="clear" w:color="auto" w:fill="FFFFFF"/>
      <w:spacing w:after="300" w:line="402" w:lineRule="exact"/>
      <w:jc w:val="center"/>
      <w:outlineLvl w:val="0"/>
    </w:pPr>
    <w:rPr>
      <w:rFonts w:ascii="Arial" w:eastAsia="Arial" w:hAnsi="Arial" w:cs="Arial"/>
      <w:b/>
      <w:bCs/>
      <w:sz w:val="36"/>
      <w:szCs w:val="36"/>
    </w:rPr>
  </w:style>
  <w:style w:type="character" w:customStyle="1" w:styleId="Heading1Char">
    <w:name w:val="Heading 1 Char"/>
    <w:basedOn w:val="DefaultParagraphFont"/>
    <w:link w:val="Heading1"/>
    <w:rsid w:val="004D0CFD"/>
    <w:rPr>
      <w:kern w:val="28"/>
      <w:sz w:val="22"/>
      <w:szCs w:val="22"/>
      <w:lang w:bidi="ar-SA"/>
    </w:rPr>
  </w:style>
  <w:style w:type="character" w:customStyle="1" w:styleId="Heading2Char">
    <w:name w:val="Heading 2 Char"/>
    <w:basedOn w:val="DefaultParagraphFont"/>
    <w:link w:val="Heading2"/>
    <w:rsid w:val="004D0CFD"/>
    <w:rPr>
      <w:sz w:val="22"/>
      <w:szCs w:val="22"/>
      <w:lang w:bidi="ar-SA"/>
    </w:rPr>
  </w:style>
  <w:style w:type="character" w:customStyle="1" w:styleId="Heading3Char">
    <w:name w:val="Heading 3 Char"/>
    <w:basedOn w:val="DefaultParagraphFont"/>
    <w:link w:val="Heading3"/>
    <w:rsid w:val="004D0CFD"/>
    <w:rPr>
      <w:sz w:val="22"/>
      <w:szCs w:val="22"/>
      <w:lang w:bidi="ar-SA"/>
    </w:rPr>
  </w:style>
  <w:style w:type="character" w:customStyle="1" w:styleId="Heading4Char">
    <w:name w:val="Heading 4 Char"/>
    <w:basedOn w:val="DefaultParagraphFont"/>
    <w:link w:val="Heading4"/>
    <w:rsid w:val="004D0CFD"/>
    <w:rPr>
      <w:sz w:val="22"/>
      <w:szCs w:val="22"/>
      <w:lang w:bidi="ar-SA"/>
    </w:rPr>
  </w:style>
  <w:style w:type="character" w:customStyle="1" w:styleId="Heading5Char">
    <w:name w:val="Heading 5 Char"/>
    <w:basedOn w:val="DefaultParagraphFont"/>
    <w:link w:val="Heading5"/>
    <w:rsid w:val="004D0CFD"/>
    <w:rPr>
      <w:sz w:val="22"/>
      <w:szCs w:val="22"/>
      <w:lang w:bidi="ar-SA"/>
    </w:rPr>
  </w:style>
  <w:style w:type="character" w:customStyle="1" w:styleId="Heading6Char">
    <w:name w:val="Heading 6 Char"/>
    <w:basedOn w:val="DefaultParagraphFont"/>
    <w:link w:val="Heading6"/>
    <w:rsid w:val="004D0CFD"/>
    <w:rPr>
      <w:sz w:val="22"/>
      <w:szCs w:val="22"/>
      <w:lang w:bidi="ar-SA"/>
    </w:rPr>
  </w:style>
  <w:style w:type="character" w:customStyle="1" w:styleId="Heading7Char">
    <w:name w:val="Heading 7 Char"/>
    <w:basedOn w:val="DefaultParagraphFont"/>
    <w:link w:val="Heading7"/>
    <w:rsid w:val="004D0CFD"/>
    <w:rPr>
      <w:sz w:val="22"/>
      <w:szCs w:val="22"/>
      <w:lang w:bidi="ar-SA"/>
    </w:rPr>
  </w:style>
  <w:style w:type="character" w:customStyle="1" w:styleId="Heading8Char">
    <w:name w:val="Heading 8 Char"/>
    <w:basedOn w:val="DefaultParagraphFont"/>
    <w:link w:val="Heading8"/>
    <w:rsid w:val="004D0CFD"/>
    <w:rPr>
      <w:sz w:val="22"/>
      <w:szCs w:val="22"/>
      <w:lang w:bidi="ar-SA"/>
    </w:rPr>
  </w:style>
  <w:style w:type="character" w:customStyle="1" w:styleId="Heading9Char">
    <w:name w:val="Heading 9 Char"/>
    <w:basedOn w:val="DefaultParagraphFont"/>
    <w:link w:val="Heading9"/>
    <w:rsid w:val="004D0CFD"/>
    <w:rPr>
      <w:sz w:val="22"/>
      <w:szCs w:val="22"/>
      <w:lang w:bidi="ar-SA"/>
    </w:rPr>
  </w:style>
  <w:style w:type="paragraph" w:styleId="Footer">
    <w:name w:val="footer"/>
    <w:basedOn w:val="Normal"/>
    <w:link w:val="FooterChar"/>
    <w:qFormat/>
    <w:rsid w:val="004D0CFD"/>
  </w:style>
  <w:style w:type="character" w:customStyle="1" w:styleId="FooterChar">
    <w:name w:val="Footer Char"/>
    <w:basedOn w:val="DefaultParagraphFont"/>
    <w:link w:val="Footer"/>
    <w:rsid w:val="004D0CFD"/>
    <w:rPr>
      <w:sz w:val="22"/>
      <w:szCs w:val="22"/>
      <w:lang w:bidi="ar-SA"/>
    </w:rPr>
  </w:style>
  <w:style w:type="paragraph" w:styleId="FootnoteText">
    <w:name w:val="footnote text"/>
    <w:basedOn w:val="Normal"/>
    <w:link w:val="FootnoteTextChar"/>
    <w:qFormat/>
    <w:rsid w:val="004D0CFD"/>
    <w:pPr>
      <w:keepLines/>
      <w:spacing w:after="60" w:line="240" w:lineRule="auto"/>
      <w:ind w:left="567" w:hanging="567"/>
    </w:pPr>
    <w:rPr>
      <w:sz w:val="16"/>
    </w:rPr>
  </w:style>
  <w:style w:type="character" w:customStyle="1" w:styleId="FootnoteTextChar">
    <w:name w:val="Footnote Text Char"/>
    <w:basedOn w:val="DefaultParagraphFont"/>
    <w:link w:val="FootnoteText"/>
    <w:rsid w:val="004D0CFD"/>
    <w:rPr>
      <w:sz w:val="16"/>
      <w:szCs w:val="22"/>
      <w:lang w:bidi="ar-SA"/>
    </w:rPr>
  </w:style>
  <w:style w:type="paragraph" w:styleId="Header">
    <w:name w:val="header"/>
    <w:basedOn w:val="Normal"/>
    <w:link w:val="HeaderChar"/>
    <w:qFormat/>
    <w:rsid w:val="004D0CFD"/>
  </w:style>
  <w:style w:type="character" w:customStyle="1" w:styleId="HeaderChar">
    <w:name w:val="Header Char"/>
    <w:basedOn w:val="DefaultParagraphFont"/>
    <w:link w:val="Header"/>
    <w:rsid w:val="004D0CFD"/>
    <w:rPr>
      <w:sz w:val="22"/>
      <w:szCs w:val="22"/>
      <w:lang w:bidi="ar-SA"/>
    </w:rPr>
  </w:style>
  <w:style w:type="paragraph" w:customStyle="1" w:styleId="quotes">
    <w:name w:val="quotes"/>
    <w:basedOn w:val="Normal"/>
    <w:next w:val="Normal"/>
    <w:rsid w:val="004D0CFD"/>
    <w:pPr>
      <w:ind w:left="720"/>
    </w:pPr>
    <w:rPr>
      <w:i/>
    </w:rPr>
  </w:style>
  <w:style w:type="character" w:styleId="FootnoteReference">
    <w:name w:val="footnote reference"/>
    <w:basedOn w:val="DefaultParagraphFont"/>
    <w:unhideWhenUsed/>
    <w:qFormat/>
    <w:rsid w:val="004D0CFD"/>
    <w:rPr>
      <w:sz w:val="24"/>
      <w:vertAlign w:val="superscript"/>
    </w:rPr>
  </w:style>
  <w:style w:type="paragraph" w:styleId="BalloonText">
    <w:name w:val="Balloon Text"/>
    <w:basedOn w:val="Normal"/>
    <w:link w:val="BalloonTextChar"/>
    <w:uiPriority w:val="99"/>
    <w:semiHidden/>
    <w:unhideWhenUsed/>
    <w:rsid w:val="002C165A"/>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C165A"/>
    <w:rPr>
      <w:rFonts w:ascii="Segoe UI" w:hAnsi="Segoe UI" w:cs="Segoe UI"/>
      <w:sz w:val="18"/>
      <w:szCs w:val="1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openxmlformats.org/officeDocument/2006/relationships/customXml" Target="../customXml/item4.xml"/></Relationships>
</file>

<file path=word/_rels/footer1.xml.rels><?xml version="1.0" encoding="UTF-8" standalone="yes"?>
<Relationships xmlns="http://schemas.openxmlformats.org/package/2006/relationships"><Relationship Id="rId1" Type="http://schemas.openxmlformats.org/officeDocument/2006/relationships/hyperlink" Target="http://www.cllmatelnteractlve.org" TargetMode="External"/></Relationships>
</file>

<file path=word/_rels/settings.xml.rels>&#65279;<?xml version="1.0" encoding="utf-8"?><Relationships xmlns="http://schemas.openxmlformats.org/package/2006/relationships"><Relationship Type="http://schemas.openxmlformats.org/officeDocument/2006/relationships/attachedTemplate" Target="Normal.dotm" TargetMode="External" Id="relationId"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CTJJHAUHWN5E-644613129-993</_dlc_DocId>
    <_dlc_DocIdUrl xmlns="bfc960a6-20da-4c94-8684-71380fca093b">
      <Url>http://dm2016/eesc/2019/_layouts/15/DocIdRedir.aspx?ID=CTJJHAUHWN5E-644613129-993</Url>
      <Description>CTJJHAUHWN5E-644613129-993</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2019-11-28T12:00:00+00:00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7</Value>
      <Value>246</Value>
      <Value>21</Value>
      <Value>152</Value>
      <Value>162</Value>
      <Value>11</Value>
      <Value>5</Value>
      <Value>154</Value>
      <Value>153</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SR</TermName>
          <TermId xmlns="http://schemas.microsoft.com/office/infopath/2007/PartnerControls">7f3a1d13-b985-4bfd-981e-afe31377edff</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11388</FicheNumber>
    <DocumentPart xmlns="bfc960a6-20da-4c94-8684-71380fca093b">5</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6E57484-BC1B-443C-ABD7-2FD7BA2ADEA5}"/>
</file>

<file path=customXml/itemProps2.xml><?xml version="1.0" encoding="utf-8"?>
<ds:datastoreItem xmlns:ds="http://schemas.openxmlformats.org/officeDocument/2006/customXml" ds:itemID="{55BEF95D-E94A-49DA-8E34-56C730A43344}"/>
</file>

<file path=customXml/itemProps3.xml><?xml version="1.0" encoding="utf-8"?>
<ds:datastoreItem xmlns:ds="http://schemas.openxmlformats.org/officeDocument/2006/customXml" ds:itemID="{4100C0E7-B114-4CCF-AB44-BED394F423D9}"/>
</file>

<file path=customXml/itemProps4.xml><?xml version="1.0" encoding="utf-8"?>
<ds:datastoreItem xmlns:ds="http://schemas.openxmlformats.org/officeDocument/2006/customXml" ds:itemID="{8D54BDCC-4FFD-4E6A-B145-9F5B2CFE7A5A}"/>
</file>

<file path=docProps/app.xml><?xml version="1.0" encoding="utf-8"?>
<Properties xmlns="http://schemas.openxmlformats.org/officeDocument/2006/extended-properties" xmlns:vt="http://schemas.openxmlformats.org/officeDocument/2006/docPropsVTypes">
  <Template>Normal.dotm</Template>
  <TotalTime>1</TotalTime>
  <Pages>3</Pages>
  <Words>1159</Words>
  <Characters>6610</Characters>
  <Application>Microsoft Office Word</Application>
  <DocSecurity>4</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CDT</Company>
  <LinksUpToDate>false</LinksUpToDate>
  <CharactersWithSpaces>7754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 Working Documents - Group 6A - Developed Nations</dc:title>
  <dc:creator>CDT</dc:creator>
  <cp:keywords>EESC-2019-05163-05-00-INFO-TRA-EN</cp:keywords>
  <dc:description>Rapporteur:  - Original language: EN - Date of document: 28/11/2019 - Date of meeting:  - External documents:  - Administrator: MME Lahousse Chloé</dc:description>
  <cp:lastModifiedBy>Robert Urukalo</cp:lastModifiedBy>
  <cp:revision>2</cp:revision>
  <dcterms:created xsi:type="dcterms:W3CDTF">2019-11-28T13:41:00Z</dcterms:created>
  <dcterms:modified xsi:type="dcterms:W3CDTF">2019-11-28T13:41:00Z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15/11/2019</vt:lpwstr>
  </property>
  <property fmtid="{D5CDD505-2E9C-101B-9397-08002B2CF9AE}" pid="4" name="Pref_Time">
    <vt:lpwstr>11:50:56, 11:31:01</vt:lpwstr>
  </property>
  <property fmtid="{D5CDD505-2E9C-101B-9397-08002B2CF9AE}" pid="5" name="Pref_User">
    <vt:lpwstr>hnic, ssex</vt:lpwstr>
  </property>
  <property fmtid="{D5CDD505-2E9C-101B-9397-08002B2CF9AE}" pid="6" name="Pref_FileName">
    <vt:lpwstr>EESC-2019-05163-05-00-INFO-TRA-EN-CRR.docx, EESC-2019-05163-05-00-INFO-ORI.docx</vt:lpwstr>
  </property>
  <property fmtid="{D5CDD505-2E9C-101B-9397-08002B2CF9AE}" pid="7" name="ContentTypeId">
    <vt:lpwstr>0x010100EA97B91038054C99906057A708A1480A004A07B7D2C585754B97D3BEF52E07EE2D</vt:lpwstr>
  </property>
  <property fmtid="{D5CDD505-2E9C-101B-9397-08002B2CF9AE}" pid="8" name="_dlc_DocIdItemGuid">
    <vt:lpwstr>fd1d71cf-9798-4168-876c-dd823b89f199</vt:lpwstr>
  </property>
  <property fmtid="{D5CDD505-2E9C-101B-9397-08002B2CF9AE}" pid="9" name="AvailableTranslations">
    <vt:lpwstr>152;#MK|34ce48bb-063e-4413-a932-50853dc71c5c;#162;#TR|6e4ededd-04c4-4fa0-94e0-1028050302d5;#154;#SQ|5ac17240-8d11-45ec-9893-659b209d7a00;#4;#EN|f2175f21-25d7-44a3-96da-d6a61b075e1b;#153;#SR|7f3a1d13-b985-4bfd-981e-afe31377edff;#246;#ME|925b3da5-5ac0-4b3c-928c-6ef66a5c9b3c;#21;#IT|0774613c-01ed-4e5d-a25d-11d2388de825</vt:lpwstr>
  </property>
  <property fmtid="{D5CDD505-2E9C-101B-9397-08002B2CF9AE}" pid="10" name="DocumentType_0">
    <vt:lpwstr>INFO|d9136e7c-93a9-4c42-9d28-92b61e85f80c</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5163</vt:i4>
  </property>
  <property fmtid="{D5CDD505-2E9C-101B-9397-08002B2CF9AE}" pid="14" name="FicheYear">
    <vt:i4>2019</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5</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1" name="DocumentType">
    <vt:lpwstr>11;#INFO|d9136e7c-93a9-4c42-9d28-92b61e85f80c</vt:lpwstr>
  </property>
  <property fmtid="{D5CDD505-2E9C-101B-9397-08002B2CF9AE}" pid="22" name="RequestingService">
    <vt:lpwstr>Visites / Publications</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9" name="AvailableTranslations_0">
    <vt:lpwstr>MK|34ce48bb-063e-4413-a932-50853dc71c5c;SQ|5ac17240-8d11-45ec-9893-659b209d7a00;EN|f2175f21-25d7-44a3-96da-d6a61b075e1b;ME|925b3da5-5ac0-4b3c-928c-6ef66a5c9b3c</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152;#MK|34ce48bb-063e-4413-a932-50853dc71c5c;#11;#INFO|d9136e7c-93a9-4c42-9d28-92b61e85f80c;#154;#SQ|5ac17240-8d11-45ec-9893-659b209d7a00;#246;#ME|925b3da5-5ac0-4b3c-928c-6ef66a5c9b3c;#7;#Final|ea5e6674-7b27-4bac-b091-73adbb394efe;#5;#Unrestricted|826e22d7-d029-4ec0-a450-0c28ff673572;#4;#EN|f2175f21-25d7-44a3-96da-d6a61b075e1b;#2;#TRA|150d2a88-1431-44e6-a8ca-0bb753ab8672;#1;#EESC|422833ec-8d7e-4e65-8e4e-8bed07ffb729</vt:lpwstr>
  </property>
  <property fmtid="{D5CDD505-2E9C-101B-9397-08002B2CF9AE}" pid="33" name="VersionStatus_0">
    <vt:lpwstr>Final|ea5e6674-7b27-4bac-b091-73adbb394efe</vt:lpwstr>
  </property>
  <property fmtid="{D5CDD505-2E9C-101B-9397-08002B2CF9AE}" pid="34" name="VersionStatus">
    <vt:lpwstr>7;#Final|ea5e6674-7b27-4bac-b091-73adbb394efe</vt:lpwstr>
  </property>
  <property fmtid="{D5CDD505-2E9C-101B-9397-08002B2CF9AE}" pid="35" name="DocumentYear">
    <vt:i4>2019</vt:i4>
  </property>
  <property fmtid="{D5CDD505-2E9C-101B-9397-08002B2CF9AE}" pid="36" name="FicheNumber">
    <vt:i4>11388</vt:i4>
  </property>
  <property fmtid="{D5CDD505-2E9C-101B-9397-08002B2CF9AE}" pid="37" name="DocumentLanguage">
    <vt:lpwstr>153;#SR|7f3a1d13-b985-4bfd-981e-afe31377edff</vt:lpwstr>
  </property>
  <property fmtid="{D5CDD505-2E9C-101B-9397-08002B2CF9AE}" pid="38" name="_docset_NoMedatataSyncRequired">
    <vt:lpwstr>False</vt:lpwstr>
  </property>
</Properties>
</file>